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2F" w:rsidRDefault="002D1E2F" w:rsidP="002D1E2F"/>
    <w:p w:rsidR="002D1E2F" w:rsidRDefault="002D1E2F" w:rsidP="002D1E2F">
      <w:pPr>
        <w:jc w:val="both"/>
      </w:pPr>
      <w:r>
        <w:t>GTT orders enable clients to place buy or sell orders specifying 3 types of price condition with 364 default timeframe validity for execution. However, in the event of corporate actions (such as stock bonus, rights issue, splits, mergers, etc.), these orders may be subject to adjustments or cancellation to avoid unintended execution or market disruptions. This document outlines our policy for handling such orders.</w:t>
      </w:r>
    </w:p>
    <w:p w:rsidR="002D1E2F" w:rsidRPr="004F7F2C" w:rsidRDefault="002D1E2F" w:rsidP="002D1E2F">
      <w:pPr>
        <w:rPr>
          <w:b/>
        </w:rPr>
      </w:pPr>
      <w:r w:rsidRPr="004F7F2C">
        <w:rPr>
          <w:b/>
        </w:rPr>
        <w:t>1.</w:t>
      </w:r>
      <w:r w:rsidRPr="004F7F2C">
        <w:rPr>
          <w:b/>
        </w:rPr>
        <w:tab/>
        <w:t>Details of GTT Orders</w:t>
      </w:r>
    </w:p>
    <w:p w:rsidR="002D1E2F" w:rsidRDefault="002D1E2F" w:rsidP="002D1E2F">
      <w:r>
        <w:t>•</w:t>
      </w:r>
      <w:r>
        <w:tab/>
        <w:t>Accessibility: Client login only (IBT / Mobile) : The GTT feature is available only for client logins. Dealer logins do not have access to this feature.</w:t>
      </w:r>
    </w:p>
    <w:p w:rsidR="002D1E2F" w:rsidRDefault="002D1E2F" w:rsidP="002D1E2F">
      <w:r>
        <w:t>•</w:t>
      </w:r>
      <w:r>
        <w:tab/>
        <w:t>GTT Orders: Orders remain in the system until a pre-defined trigger condition (price or time-based) is met or the order is cancelled by the client.</w:t>
      </w:r>
    </w:p>
    <w:p w:rsidR="002D1E2F" w:rsidRDefault="002D1E2F" w:rsidP="002D1E2F">
      <w:r>
        <w:t>•</w:t>
      </w:r>
      <w:r>
        <w:tab/>
        <w:t>Order Validity: 364 Days Default Order Validity.</w:t>
      </w:r>
    </w:p>
    <w:p w:rsidR="002D1E2F" w:rsidRDefault="002D1E2F" w:rsidP="002D1E2F">
      <w:r>
        <w:t>•</w:t>
      </w:r>
      <w:r>
        <w:tab/>
        <w:t xml:space="preserve">Price Condition: </w:t>
      </w:r>
    </w:p>
    <w:p w:rsidR="002D1E2F" w:rsidRDefault="002D1E2F" w:rsidP="002D1E2F">
      <w:r>
        <w:t>a.</w:t>
      </w:r>
      <w:r>
        <w:tab/>
        <w:t>Price is Below: Order Trigger by system and placed order @Mkt when LTP comes below trigger price specified.</w:t>
      </w:r>
    </w:p>
    <w:p w:rsidR="002D1E2F" w:rsidRDefault="002D1E2F" w:rsidP="002D1E2F">
      <w:r>
        <w:t>b.</w:t>
      </w:r>
      <w:r>
        <w:tab/>
        <w:t>Price is Above: Order Trigger by system and placed order @Mkt when LTP comes above trigger price specified.</w:t>
      </w:r>
    </w:p>
    <w:p w:rsidR="002D1E2F" w:rsidRDefault="002D1E2F" w:rsidP="002D1E2F">
      <w:r>
        <w:t>c.</w:t>
      </w:r>
      <w:r>
        <w:tab/>
        <w:t>Immediately: Order placed Immediately @Mkt at time of GTT Order placement.</w:t>
      </w:r>
    </w:p>
    <w:p w:rsidR="002D1E2F" w:rsidRDefault="002D1E2F" w:rsidP="002D1E2F">
      <w:r>
        <w:t>•</w:t>
      </w:r>
      <w:r>
        <w:tab/>
        <w:t xml:space="preserve">Combination of GTT Orders: Client can place GTT orders in any combination of Main </w:t>
      </w:r>
      <w:r w:rsidR="00180310">
        <w:t>Leg,</w:t>
      </w:r>
      <w:r>
        <w:t xml:space="preserve"> Stop-Loss and Target Price or any one of three by selecting check box.</w:t>
      </w:r>
    </w:p>
    <w:p w:rsidR="002D1E2F" w:rsidRDefault="002D1E2F" w:rsidP="002D1E2F">
      <w:r>
        <w:t>Note :- Stop-Loss and Target having OTC ( One Other Cancel) Relation , in case of client has put Stop-Loss and Target Both in that case system will cancel other order once any one state trigger , But Main Stat Order don`t have Relation with Stop-Loss or Target Both Main Stat Order and Stop- Loss/Target Order is individual.</w:t>
      </w:r>
    </w:p>
    <w:p w:rsidR="002D1E2F" w:rsidRPr="004F7F2C" w:rsidRDefault="002D1E2F" w:rsidP="002D1E2F">
      <w:pPr>
        <w:rPr>
          <w:b/>
        </w:rPr>
      </w:pPr>
      <w:r w:rsidRPr="004F7F2C">
        <w:rPr>
          <w:b/>
        </w:rPr>
        <w:t>2. Handling of GTC/GTT Orders during Corporate Actions</w:t>
      </w:r>
    </w:p>
    <w:p w:rsidR="002D1E2F" w:rsidRDefault="002D1E2F" w:rsidP="002D1E2F">
      <w:pPr>
        <w:jc w:val="both"/>
      </w:pPr>
      <w:r>
        <w:t>In the event of a corporate action, such as stock split, bonus issue, rights issue, mergers, or any other action that affects stock prices or volumes, the following mechanisms will be applied:</w:t>
      </w:r>
    </w:p>
    <w:p w:rsidR="002D1E2F" w:rsidRDefault="002D1E2F" w:rsidP="002D1E2F">
      <w:r>
        <w:t>•</w:t>
      </w:r>
      <w:r>
        <w:tab/>
        <w:t>Order Cancellation: GTT orders that remain unexecuted at the time of the corporate action may be cancelled to prevent any unintended execution at erroneous prices. The client will be notified promptly of the cancellation.</w:t>
      </w:r>
    </w:p>
    <w:p w:rsidR="002D1E2F" w:rsidRDefault="002D1E2F" w:rsidP="002D1E2F">
      <w:r>
        <w:t>•</w:t>
      </w:r>
      <w:r>
        <w:tab/>
        <w:t>Order Retention: In some cases, where the corporate action is not expected to result in substantial changes to stock prices (e.g., dividend announcements), the unexecuted GTT orders may be retained. However, the final decision will rest with the Member and will be communicated to the client.</w:t>
      </w:r>
    </w:p>
    <w:p w:rsidR="002D1E2F" w:rsidRPr="004F7F2C" w:rsidRDefault="002D1E2F" w:rsidP="002D1E2F">
      <w:pPr>
        <w:rPr>
          <w:b/>
        </w:rPr>
      </w:pPr>
      <w:r w:rsidRPr="004F7F2C">
        <w:rPr>
          <w:b/>
        </w:rPr>
        <w:t>3. Client Notification Timeline</w:t>
      </w:r>
    </w:p>
    <w:p w:rsidR="002D1E2F" w:rsidRDefault="002D1E2F" w:rsidP="002D1E2F">
      <w:r>
        <w:t>•</w:t>
      </w:r>
      <w:r>
        <w:tab/>
        <w:t>We are committed to providing information before start of trading to our clients regarding upcoming corporate actions and the impact on their GTT orders.</w:t>
      </w:r>
    </w:p>
    <w:p w:rsidR="002D1E2F" w:rsidRDefault="002D1E2F" w:rsidP="002D1E2F"/>
    <w:p w:rsidR="002D1E2F" w:rsidRDefault="002D1E2F" w:rsidP="002D1E2F"/>
    <w:p w:rsidR="002D1E2F" w:rsidRDefault="002D1E2F" w:rsidP="002D1E2F">
      <w:r>
        <w:t>•</w:t>
      </w:r>
      <w:r>
        <w:tab/>
        <w:t>Clients will be notified through their registered communication channels (email, SMS, or the trading platform).</w:t>
      </w:r>
    </w:p>
    <w:p w:rsidR="002D1E2F" w:rsidRDefault="002D1E2F" w:rsidP="002D1E2F">
      <w:r>
        <w:t xml:space="preserve">For any queries regarding this policy or to clarify the status of your orders during a corporate action, please contact our customer service team at </w:t>
      </w:r>
      <w:hyperlink r:id="rId7" w:history="1">
        <w:r w:rsidRPr="00701B25">
          <w:rPr>
            <w:rStyle w:val="Hyperlink"/>
          </w:rPr>
          <w:t>https://www.inanisec.in</w:t>
        </w:r>
      </w:hyperlink>
    </w:p>
    <w:p w:rsidR="002D1E2F" w:rsidRPr="004F7F2C" w:rsidRDefault="002D1E2F" w:rsidP="002D1E2F">
      <w:pPr>
        <w:rPr>
          <w:b/>
        </w:rPr>
      </w:pPr>
      <w:r w:rsidRPr="004F7F2C">
        <w:rPr>
          <w:b/>
        </w:rPr>
        <w:t>Tel. No. : 022 43486023 / 022 43486000</w:t>
      </w:r>
    </w:p>
    <w:p w:rsidR="00700CA2" w:rsidRPr="002D1E2F" w:rsidRDefault="00700CA2" w:rsidP="00700CA2">
      <w:pPr>
        <w:spacing w:after="0"/>
        <w:rPr>
          <w:lang w:val="en-GB"/>
        </w:rPr>
      </w:pPr>
    </w:p>
    <w:sectPr w:rsidR="00700CA2" w:rsidRPr="002D1E2F" w:rsidSect="00AB0D7A">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8D9" w:rsidRDefault="000818D9" w:rsidP="0060056B">
      <w:pPr>
        <w:spacing w:after="0" w:line="240" w:lineRule="auto"/>
      </w:pPr>
      <w:r>
        <w:separator/>
      </w:r>
    </w:p>
  </w:endnote>
  <w:endnote w:type="continuationSeparator" w:id="0">
    <w:p w:rsidR="000818D9" w:rsidRDefault="000818D9" w:rsidP="00600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8D9" w:rsidRDefault="000818D9" w:rsidP="0060056B">
      <w:pPr>
        <w:spacing w:after="0" w:line="240" w:lineRule="auto"/>
      </w:pPr>
      <w:r>
        <w:separator/>
      </w:r>
    </w:p>
  </w:footnote>
  <w:footnote w:type="continuationSeparator" w:id="0">
    <w:p w:rsidR="000818D9" w:rsidRDefault="000818D9" w:rsidP="00600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6B" w:rsidRDefault="0060056B" w:rsidP="002D1E2F">
    <w:pPr>
      <w:pStyle w:val="Header"/>
      <w:ind w:firstLine="720"/>
    </w:pPr>
    <w:r>
      <w:rPr>
        <w:noProof/>
        <w:lang w:val="en-US"/>
      </w:rPr>
      <w:drawing>
        <wp:inline distT="0" distB="0" distL="0" distR="0">
          <wp:extent cx="5329610" cy="468562"/>
          <wp:effectExtent l="19050" t="0" r="4390" b="0"/>
          <wp:docPr id="5" name="Picture 4" descr="ISL FUL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 FULL LOGO.jpeg"/>
                  <pic:cNvPicPr/>
                </pic:nvPicPr>
                <pic:blipFill>
                  <a:blip r:embed="rId1"/>
                  <a:stretch>
                    <a:fillRect/>
                  </a:stretch>
                </pic:blipFill>
                <pic:spPr>
                  <a:xfrm>
                    <a:off x="0" y="0"/>
                    <a:ext cx="5422788" cy="4767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6676"/>
    <w:multiLevelType w:val="hybridMultilevel"/>
    <w:tmpl w:val="C122D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573B5"/>
    <w:multiLevelType w:val="hybridMultilevel"/>
    <w:tmpl w:val="6C22C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55453"/>
    <w:multiLevelType w:val="hybridMultilevel"/>
    <w:tmpl w:val="295C1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107A9"/>
    <w:multiLevelType w:val="hybridMultilevel"/>
    <w:tmpl w:val="5E58E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2628F"/>
    <w:multiLevelType w:val="hybridMultilevel"/>
    <w:tmpl w:val="92F2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76ADD"/>
    <w:multiLevelType w:val="hybridMultilevel"/>
    <w:tmpl w:val="E5CC5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IN" w:vendorID="64" w:dllVersion="131078" w:nlCheck="1" w:checkStyle="0"/>
  <w:defaultTabStop w:val="720"/>
  <w:characterSpacingControl w:val="doNotCompress"/>
  <w:hdrShapeDefaults>
    <o:shapedefaults v:ext="edit" spidmax="8194"/>
  </w:hdrShapeDefaults>
  <w:footnotePr>
    <w:footnote w:id="-1"/>
    <w:footnote w:id="0"/>
  </w:footnotePr>
  <w:endnotePr>
    <w:endnote w:id="-1"/>
    <w:endnote w:id="0"/>
  </w:endnotePr>
  <w:compat/>
  <w:rsids>
    <w:rsidRoot w:val="00F97511"/>
    <w:rsid w:val="000818D9"/>
    <w:rsid w:val="0008496D"/>
    <w:rsid w:val="00180310"/>
    <w:rsid w:val="001A6996"/>
    <w:rsid w:val="002D1E2F"/>
    <w:rsid w:val="003A5DE9"/>
    <w:rsid w:val="004E4DCC"/>
    <w:rsid w:val="0050622C"/>
    <w:rsid w:val="0059787E"/>
    <w:rsid w:val="0060056B"/>
    <w:rsid w:val="00641AC5"/>
    <w:rsid w:val="006D6584"/>
    <w:rsid w:val="00700CA2"/>
    <w:rsid w:val="00886C75"/>
    <w:rsid w:val="009320DB"/>
    <w:rsid w:val="009B51D9"/>
    <w:rsid w:val="00A17FCF"/>
    <w:rsid w:val="00A41962"/>
    <w:rsid w:val="00AA7831"/>
    <w:rsid w:val="00AB0D7A"/>
    <w:rsid w:val="00AC0D69"/>
    <w:rsid w:val="00C320FE"/>
    <w:rsid w:val="00CB7F46"/>
    <w:rsid w:val="00EA13C2"/>
    <w:rsid w:val="00F678A2"/>
    <w:rsid w:val="00F97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511"/>
    <w:rPr>
      <w:rFonts w:ascii="Tahoma" w:hAnsi="Tahoma" w:cs="Tahoma"/>
      <w:sz w:val="16"/>
      <w:szCs w:val="16"/>
    </w:rPr>
  </w:style>
  <w:style w:type="paragraph" w:styleId="ListParagraph">
    <w:name w:val="List Paragraph"/>
    <w:basedOn w:val="Normal"/>
    <w:uiPriority w:val="34"/>
    <w:qFormat/>
    <w:rsid w:val="00F97511"/>
    <w:pPr>
      <w:ind w:left="720"/>
      <w:contextualSpacing/>
    </w:pPr>
  </w:style>
  <w:style w:type="paragraph" w:styleId="Header">
    <w:name w:val="header"/>
    <w:basedOn w:val="Normal"/>
    <w:link w:val="HeaderChar"/>
    <w:uiPriority w:val="99"/>
    <w:semiHidden/>
    <w:unhideWhenUsed/>
    <w:rsid w:val="006005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056B"/>
  </w:style>
  <w:style w:type="paragraph" w:styleId="Footer">
    <w:name w:val="footer"/>
    <w:basedOn w:val="Normal"/>
    <w:link w:val="FooterChar"/>
    <w:uiPriority w:val="99"/>
    <w:semiHidden/>
    <w:unhideWhenUsed/>
    <w:rsid w:val="006005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056B"/>
  </w:style>
  <w:style w:type="character" w:styleId="Hyperlink">
    <w:name w:val="Hyperlink"/>
    <w:basedOn w:val="DefaultParagraphFont"/>
    <w:uiPriority w:val="99"/>
    <w:unhideWhenUsed/>
    <w:rsid w:val="002D1E2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anise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2025-05-14T05:48:00Z</cp:lastPrinted>
  <dcterms:created xsi:type="dcterms:W3CDTF">2025-05-14T05:38:00Z</dcterms:created>
  <dcterms:modified xsi:type="dcterms:W3CDTF">2025-06-18T05:08:00Z</dcterms:modified>
</cp:coreProperties>
</file>